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Times New Roman" w:eastAsia="仿宋_GB2312"/>
          <w:b/>
          <w:sz w:val="32"/>
          <w:szCs w:val="32"/>
        </w:rPr>
      </w:pPr>
      <w:bookmarkStart w:id="0" w:name="_GoBack"/>
      <w:bookmarkEnd w:id="0"/>
      <w:r>
        <w:rPr>
          <w:rFonts w:ascii="仿宋_GB2312" w:hAnsi="Times New Roman" w:eastAsia="仿宋_GB2312"/>
          <w:b/>
          <w:sz w:val="32"/>
          <w:szCs w:val="32"/>
        </w:rPr>
        <w:t>附件</w:t>
      </w:r>
      <w:r>
        <w:rPr>
          <w:rFonts w:hint="eastAsia" w:ascii="仿宋_GB2312" w:hAnsi="Times New Roman" w:eastAsia="仿宋_GB2312"/>
          <w:b/>
          <w:sz w:val="32"/>
          <w:szCs w:val="32"/>
        </w:rPr>
        <w:t>：</w:t>
      </w:r>
    </w:p>
    <w:p>
      <w:pPr>
        <w:spacing w:line="560" w:lineRule="exact"/>
        <w:jc w:val="center"/>
        <w:outlineLvl w:val="0"/>
        <w:rPr>
          <w:rFonts w:ascii="华文中宋" w:hAnsi="华文中宋" w:eastAsia="华文中宋"/>
          <w:spacing w:val="-2"/>
          <w:sz w:val="36"/>
          <w:szCs w:val="36"/>
        </w:rPr>
      </w:pPr>
      <w:r>
        <w:rPr>
          <w:rFonts w:hint="eastAsia" w:ascii="华文中宋" w:hAnsi="华文中宋" w:eastAsia="华文中宋"/>
          <w:spacing w:val="-2"/>
          <w:sz w:val="36"/>
          <w:szCs w:val="36"/>
        </w:rPr>
        <w:t>农业农村部规划设计研究院</w:t>
      </w:r>
      <w:r>
        <w:rPr>
          <w:rFonts w:ascii="Times New Roman" w:hAnsi="Times New Roman" w:eastAsia="华文中宋"/>
          <w:sz w:val="36"/>
          <w:szCs w:val="32"/>
        </w:rPr>
        <w:t>乡村振兴重点课题立项名单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365"/>
        <w:gridCol w:w="4679"/>
        <w:gridCol w:w="395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91" w:type="pct"/>
            <w:vAlign w:val="center"/>
          </w:tcPr>
          <w:p>
            <w:pPr>
              <w:widowControl/>
              <w:jc w:val="center"/>
              <w:rPr>
                <w:rFonts w:ascii="Times New Roman" w:hAnsi="Times New Roman" w:eastAsia="宋体"/>
                <w:b/>
                <w:bCs/>
                <w:color w:val="000000"/>
                <w:kern w:val="0"/>
                <w:sz w:val="28"/>
                <w:szCs w:val="28"/>
              </w:rPr>
            </w:pPr>
            <w:r>
              <w:rPr>
                <w:rFonts w:ascii="Times New Roman" w:hAnsi="Times New Roman" w:eastAsia="宋体"/>
                <w:b/>
                <w:bCs/>
                <w:color w:val="000000"/>
                <w:kern w:val="0"/>
                <w:sz w:val="28"/>
                <w:szCs w:val="28"/>
              </w:rPr>
              <w:t>序号</w:t>
            </w:r>
          </w:p>
        </w:tc>
        <w:tc>
          <w:tcPr>
            <w:tcW w:w="864" w:type="pct"/>
            <w:vAlign w:val="center"/>
          </w:tcPr>
          <w:p>
            <w:pPr>
              <w:widowControl/>
              <w:jc w:val="center"/>
              <w:rPr>
                <w:rFonts w:ascii="Times New Roman" w:hAnsi="Times New Roman" w:eastAsia="宋体"/>
                <w:b/>
                <w:bCs/>
                <w:color w:val="000000"/>
                <w:kern w:val="0"/>
                <w:sz w:val="28"/>
                <w:szCs w:val="28"/>
              </w:rPr>
            </w:pPr>
            <w:r>
              <w:rPr>
                <w:rFonts w:ascii="Times New Roman" w:hAnsi="Times New Roman" w:eastAsia="宋体"/>
                <w:b/>
                <w:bCs/>
                <w:color w:val="000000"/>
                <w:kern w:val="0"/>
                <w:sz w:val="28"/>
                <w:szCs w:val="28"/>
              </w:rPr>
              <w:t>选题方向</w:t>
            </w:r>
          </w:p>
        </w:tc>
        <w:tc>
          <w:tcPr>
            <w:tcW w:w="1709" w:type="pct"/>
            <w:vAlign w:val="center"/>
          </w:tcPr>
          <w:p>
            <w:pPr>
              <w:widowControl/>
              <w:jc w:val="center"/>
              <w:rPr>
                <w:rFonts w:ascii="Times New Roman" w:hAnsi="Times New Roman" w:eastAsia="宋体"/>
                <w:b/>
                <w:bCs/>
                <w:color w:val="000000"/>
                <w:kern w:val="0"/>
                <w:sz w:val="28"/>
                <w:szCs w:val="28"/>
              </w:rPr>
            </w:pPr>
            <w:r>
              <w:rPr>
                <w:rFonts w:ascii="Times New Roman" w:hAnsi="Times New Roman" w:eastAsia="宋体"/>
                <w:b/>
                <w:bCs/>
                <w:color w:val="000000"/>
                <w:kern w:val="0"/>
                <w:sz w:val="28"/>
                <w:szCs w:val="28"/>
              </w:rPr>
              <w:t>课题名称</w:t>
            </w:r>
          </w:p>
        </w:tc>
        <w:tc>
          <w:tcPr>
            <w:tcW w:w="1446" w:type="pct"/>
            <w:vAlign w:val="center"/>
          </w:tcPr>
          <w:p>
            <w:pPr>
              <w:widowControl/>
              <w:jc w:val="center"/>
              <w:rPr>
                <w:rFonts w:ascii="Times New Roman" w:hAnsi="Times New Roman" w:eastAsia="宋体"/>
                <w:b/>
                <w:bCs/>
                <w:color w:val="000000"/>
                <w:kern w:val="0"/>
                <w:sz w:val="28"/>
                <w:szCs w:val="28"/>
              </w:rPr>
            </w:pPr>
            <w:r>
              <w:rPr>
                <w:rFonts w:ascii="Times New Roman" w:hAnsi="Times New Roman" w:eastAsia="宋体"/>
                <w:b/>
                <w:bCs/>
                <w:color w:val="000000"/>
                <w:kern w:val="0"/>
                <w:sz w:val="28"/>
                <w:szCs w:val="28"/>
              </w:rPr>
              <w:t>申请单位</w:t>
            </w:r>
          </w:p>
        </w:tc>
        <w:tc>
          <w:tcPr>
            <w:tcW w:w="689" w:type="pct"/>
            <w:vAlign w:val="center"/>
          </w:tcPr>
          <w:p>
            <w:pPr>
              <w:widowControl/>
              <w:ind w:firstLine="53" w:firstLineChars="19"/>
              <w:jc w:val="center"/>
              <w:rPr>
                <w:rFonts w:ascii="Times New Roman" w:hAnsi="Times New Roman" w:eastAsia="宋体"/>
                <w:b/>
                <w:bCs/>
                <w:color w:val="000000"/>
                <w:kern w:val="0"/>
                <w:sz w:val="28"/>
                <w:szCs w:val="28"/>
              </w:rPr>
            </w:pPr>
            <w:r>
              <w:rPr>
                <w:rFonts w:ascii="Times New Roman" w:hAnsi="Times New Roman" w:eastAsia="宋体"/>
                <w:b/>
                <w:bCs/>
                <w:color w:val="000000"/>
                <w:kern w:val="0"/>
                <w:sz w:val="28"/>
                <w:szCs w:val="28"/>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w:t>
            </w:r>
          </w:p>
        </w:tc>
        <w:tc>
          <w:tcPr>
            <w:tcW w:w="864" w:type="pct"/>
            <w:vMerge w:val="restart"/>
            <w:vAlign w:val="center"/>
          </w:tcPr>
          <w:p>
            <w:pPr>
              <w:widowControl/>
              <w:spacing w:line="44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（一）全方位夯实粮食安全根基战略研究</w:t>
            </w: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全方位夯实粮食安全根基战略研究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中国农业科学院农业经济与发展研究所</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钟  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2</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新发展格局下全方位夯实粮食安全根基战略研究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中国农业大学</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李春顶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3</w:t>
            </w:r>
          </w:p>
        </w:tc>
        <w:tc>
          <w:tcPr>
            <w:tcW w:w="864" w:type="pct"/>
            <w:vMerge w:val="restart"/>
            <w:vAlign w:val="center"/>
          </w:tcPr>
          <w:p>
            <w:pPr>
              <w:widowControl/>
              <w:spacing w:line="44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（二）农业强国内涵特征及重点任务研究</w:t>
            </w: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农业强国的理论内涵与实践路径研究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西南财经大学中国西部经济研究院</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贾  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4</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农业强国建设的历史方位、内涵特征及重点任务研究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农业农村部农村经济研究中心</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王  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5</w:t>
            </w:r>
          </w:p>
        </w:tc>
        <w:tc>
          <w:tcPr>
            <w:tcW w:w="864" w:type="pct"/>
            <w:vMerge w:val="restart"/>
            <w:vAlign w:val="center"/>
          </w:tcPr>
          <w:p>
            <w:pPr>
              <w:widowControl/>
              <w:spacing w:line="44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（三）宜居宜业和美乡村内涵特征及建设路径研究</w:t>
            </w: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宜居宜业和美乡村内涵特征及建设路径</w:t>
            </w:r>
            <w:r>
              <w:rPr>
                <w:rFonts w:hint="eastAsia" w:ascii="Times New Roman" w:hAnsi="Times New Roman" w:eastAsia="宋体"/>
                <w:color w:val="000000"/>
                <w:kern w:val="0"/>
                <w:sz w:val="28"/>
                <w:szCs w:val="28"/>
              </w:rPr>
              <w:t xml:space="preserve"> </w:t>
            </w:r>
            <w:r>
              <w:rPr>
                <w:rFonts w:ascii="Times New Roman" w:hAnsi="Times New Roman" w:eastAsia="宋体"/>
                <w:color w:val="000000"/>
                <w:kern w:val="0"/>
                <w:sz w:val="28"/>
                <w:szCs w:val="28"/>
              </w:rPr>
              <w:t>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农业农村部管理干部学院乡村振兴研究中心</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彭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6</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宜居宜业和美乡村的基本内涵与建设路径研究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中国农业大学人文与发展学院</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吴惠芳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7</w:t>
            </w:r>
          </w:p>
        </w:tc>
        <w:tc>
          <w:tcPr>
            <w:tcW w:w="864" w:type="pct"/>
            <w:vAlign w:val="center"/>
          </w:tcPr>
          <w:p>
            <w:pPr>
              <w:widowControl/>
              <w:spacing w:line="440" w:lineRule="exact"/>
              <w:rPr>
                <w:rFonts w:ascii="Times New Roman" w:hAnsi="Times New Roman" w:eastAsia="宋体"/>
                <w:color w:val="000000"/>
                <w:sz w:val="28"/>
                <w:szCs w:val="28"/>
              </w:rPr>
            </w:pPr>
            <w:r>
              <w:rPr>
                <w:rFonts w:ascii="Times New Roman" w:hAnsi="Times New Roman" w:eastAsia="宋体"/>
                <w:color w:val="000000"/>
                <w:kern w:val="0"/>
                <w:sz w:val="28"/>
                <w:szCs w:val="28"/>
              </w:rPr>
              <w:t>（四）面向2050年未来乡村建设方向与形态研究</w:t>
            </w:r>
          </w:p>
        </w:tc>
        <w:tc>
          <w:tcPr>
            <w:tcW w:w="1709" w:type="pct"/>
            <w:vAlign w:val="center"/>
          </w:tcPr>
          <w:p>
            <w:pPr>
              <w:spacing w:line="440" w:lineRule="exact"/>
              <w:rPr>
                <w:rFonts w:ascii="Times New Roman" w:hAnsi="Times New Roman" w:eastAsia="宋体"/>
                <w:color w:val="000000"/>
                <w:sz w:val="28"/>
                <w:szCs w:val="28"/>
              </w:rPr>
            </w:pPr>
            <w:r>
              <w:rPr>
                <w:rFonts w:ascii="Times New Roman" w:hAnsi="Times New Roman" w:eastAsia="宋体"/>
                <w:color w:val="000000"/>
                <w:sz w:val="28"/>
                <w:szCs w:val="28"/>
              </w:rPr>
              <w:t>面向2050年的我国乡村发展格局及建设重点</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同济大学</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栾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8</w:t>
            </w:r>
          </w:p>
        </w:tc>
        <w:tc>
          <w:tcPr>
            <w:tcW w:w="864" w:type="pct"/>
            <w:vMerge w:val="restart"/>
            <w:vAlign w:val="center"/>
          </w:tcPr>
          <w:p>
            <w:pPr>
              <w:widowControl/>
              <w:spacing w:line="500" w:lineRule="exact"/>
              <w:rPr>
                <w:rFonts w:ascii="Times New Roman" w:hAnsi="Times New Roman" w:eastAsia="宋体"/>
                <w:color w:val="000000"/>
                <w:spacing w:val="-4"/>
                <w:kern w:val="0"/>
                <w:sz w:val="28"/>
                <w:szCs w:val="28"/>
              </w:rPr>
            </w:pPr>
            <w:r>
              <w:rPr>
                <w:rFonts w:ascii="Times New Roman" w:hAnsi="Times New Roman" w:eastAsia="宋体"/>
                <w:color w:val="000000"/>
                <w:spacing w:val="-4"/>
                <w:kern w:val="0"/>
                <w:sz w:val="28"/>
                <w:szCs w:val="28"/>
              </w:rPr>
              <w:t>（五）乡村可持续发展战略研究</w:t>
            </w: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全球视野下中国农村可持续发展战略研究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农业农村部农村经济研究中心</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金书秦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9</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乡村可持续发展评价指标体系研究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中国农业科学院农业经济与发展研究所</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刘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10</w:t>
            </w:r>
          </w:p>
        </w:tc>
        <w:tc>
          <w:tcPr>
            <w:tcW w:w="864" w:type="pct"/>
            <w:vMerge w:val="restart"/>
            <w:vAlign w:val="center"/>
          </w:tcPr>
          <w:p>
            <w:pPr>
              <w:widowControl/>
              <w:spacing w:line="44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（六）县域乡村振兴模式和政策研究</w:t>
            </w:r>
          </w:p>
        </w:tc>
        <w:tc>
          <w:tcPr>
            <w:tcW w:w="1709"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县域乡村振兴模式与政策研究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中国人民大学</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仇焕广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11</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spacing w:line="440" w:lineRule="exact"/>
              <w:rPr>
                <w:rFonts w:ascii="Times New Roman" w:hAnsi="Times New Roman" w:eastAsia="宋体"/>
                <w:color w:val="000000"/>
                <w:kern w:val="0"/>
                <w:sz w:val="28"/>
                <w:szCs w:val="28"/>
              </w:rPr>
            </w:pPr>
            <w:r>
              <w:rPr>
                <w:rFonts w:ascii="Times New Roman" w:hAnsi="Times New Roman" w:eastAsia="宋体"/>
                <w:color w:val="000000"/>
                <w:sz w:val="28"/>
                <w:szCs w:val="28"/>
              </w:rPr>
              <w:t>县域城乡融合发展引领乡村振兴的模式与对策研究</w:t>
            </w:r>
          </w:p>
        </w:tc>
        <w:tc>
          <w:tcPr>
            <w:tcW w:w="1446" w:type="pct"/>
            <w:vAlign w:val="center"/>
          </w:tcPr>
          <w:p>
            <w:pPr>
              <w:widowControl/>
              <w:spacing w:line="50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南京林业大学</w:t>
            </w:r>
          </w:p>
        </w:tc>
        <w:tc>
          <w:tcPr>
            <w:tcW w:w="689"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91" w:type="pct"/>
            <w:vAlign w:val="center"/>
          </w:tcPr>
          <w:p>
            <w:pPr>
              <w:widowControl/>
              <w:spacing w:line="440" w:lineRule="exact"/>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12</w:t>
            </w:r>
          </w:p>
        </w:tc>
        <w:tc>
          <w:tcPr>
            <w:tcW w:w="864" w:type="pct"/>
            <w:vMerge w:val="restart"/>
            <w:vAlign w:val="center"/>
          </w:tcPr>
          <w:p>
            <w:pPr>
              <w:widowControl/>
              <w:spacing w:line="440" w:lineRule="exact"/>
              <w:rPr>
                <w:rFonts w:ascii="Times New Roman" w:hAnsi="Times New Roman" w:eastAsia="宋体"/>
                <w:color w:val="000000"/>
                <w:kern w:val="0"/>
                <w:sz w:val="28"/>
                <w:szCs w:val="28"/>
              </w:rPr>
            </w:pPr>
            <w:r>
              <w:rPr>
                <w:rFonts w:ascii="Times New Roman" w:hAnsi="Times New Roman" w:eastAsia="宋体"/>
                <w:color w:val="000000"/>
                <w:kern w:val="0"/>
                <w:sz w:val="28"/>
                <w:szCs w:val="28"/>
              </w:rPr>
              <w:t>（七）乡村振兴指标体系和评价方法研究</w:t>
            </w:r>
          </w:p>
        </w:tc>
        <w:tc>
          <w:tcPr>
            <w:tcW w:w="1709" w:type="pct"/>
            <w:vAlign w:val="center"/>
          </w:tcPr>
          <w:p>
            <w:pPr>
              <w:widowControl/>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乡村振兴指标体系和评价方法研究</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中国农业大学</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何  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13</w:t>
            </w:r>
          </w:p>
        </w:tc>
        <w:tc>
          <w:tcPr>
            <w:tcW w:w="864" w:type="pct"/>
            <w:vMerge w:val="continue"/>
            <w:vAlign w:val="center"/>
          </w:tcPr>
          <w:p>
            <w:pPr>
              <w:spacing w:line="500" w:lineRule="exact"/>
              <w:rPr>
                <w:rFonts w:ascii="Times New Roman" w:hAnsi="Times New Roman" w:eastAsia="宋体"/>
                <w:color w:val="000000"/>
                <w:sz w:val="28"/>
                <w:szCs w:val="28"/>
              </w:rPr>
            </w:pPr>
          </w:p>
        </w:tc>
        <w:tc>
          <w:tcPr>
            <w:tcW w:w="1709" w:type="pct"/>
            <w:vAlign w:val="center"/>
          </w:tcPr>
          <w:p>
            <w:pPr>
              <w:spacing w:line="440" w:lineRule="exact"/>
              <w:rPr>
                <w:rFonts w:ascii="Times New Roman" w:hAnsi="Times New Roman" w:eastAsia="宋体"/>
                <w:color w:val="000000"/>
                <w:sz w:val="28"/>
                <w:szCs w:val="28"/>
              </w:rPr>
            </w:pPr>
            <w:r>
              <w:rPr>
                <w:rFonts w:ascii="Times New Roman" w:hAnsi="Times New Roman" w:eastAsia="宋体"/>
                <w:color w:val="000000"/>
                <w:sz w:val="28"/>
                <w:szCs w:val="28"/>
              </w:rPr>
              <w:t>新时代中国特色社会主义乡村振兴进展评价研究</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中国农业科学院农业信息研究所</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李哲敏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14</w:t>
            </w:r>
          </w:p>
        </w:tc>
        <w:tc>
          <w:tcPr>
            <w:tcW w:w="864" w:type="pct"/>
            <w:vMerge w:val="restart"/>
            <w:vAlign w:val="center"/>
          </w:tcPr>
          <w:p>
            <w:pPr>
              <w:widowControl/>
              <w:spacing w:line="440" w:lineRule="exact"/>
              <w:rPr>
                <w:rFonts w:ascii="Times New Roman" w:hAnsi="Times New Roman" w:eastAsia="宋体"/>
                <w:color w:val="000000"/>
                <w:sz w:val="28"/>
                <w:szCs w:val="28"/>
              </w:rPr>
            </w:pPr>
            <w:r>
              <w:rPr>
                <w:rFonts w:ascii="Times New Roman" w:hAnsi="Times New Roman" w:eastAsia="宋体"/>
                <w:color w:val="000000"/>
                <w:kern w:val="0"/>
                <w:sz w:val="28"/>
                <w:szCs w:val="28"/>
              </w:rPr>
              <w:t>（八）村庄规划设计理念和标准体系研究</w:t>
            </w:r>
          </w:p>
        </w:tc>
        <w:tc>
          <w:tcPr>
            <w:tcW w:w="1709" w:type="pct"/>
            <w:vAlign w:val="center"/>
          </w:tcPr>
          <w:p>
            <w:pPr>
              <w:widowControl/>
              <w:spacing w:line="440" w:lineRule="exact"/>
              <w:rPr>
                <w:rFonts w:ascii="Times New Roman" w:hAnsi="Times New Roman" w:eastAsia="宋体"/>
                <w:color w:val="000000"/>
                <w:sz w:val="28"/>
                <w:szCs w:val="28"/>
              </w:rPr>
            </w:pPr>
            <w:r>
              <w:rPr>
                <w:rFonts w:ascii="Times New Roman" w:hAnsi="Times New Roman" w:eastAsia="宋体"/>
                <w:color w:val="000000"/>
                <w:sz w:val="28"/>
                <w:szCs w:val="28"/>
              </w:rPr>
              <w:t>基于“宜居宜业和美”目标的乡村景观评价体系构建与循证实践——以北上广为例</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北京林业大学、北京东方畅想建筑设计有限公司(中国农业大学规划设计院)</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张云路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15</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村庄规划设计理念和标准体系研究</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天津大学</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赵  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16</w:t>
            </w:r>
          </w:p>
        </w:tc>
        <w:tc>
          <w:tcPr>
            <w:tcW w:w="864" w:type="pct"/>
            <w:vMerge w:val="restart"/>
            <w:vAlign w:val="center"/>
          </w:tcPr>
          <w:p>
            <w:pPr>
              <w:widowControl/>
              <w:spacing w:line="440" w:lineRule="exact"/>
              <w:rPr>
                <w:rFonts w:ascii="Times New Roman" w:hAnsi="Times New Roman" w:eastAsia="宋体"/>
                <w:color w:val="000000"/>
                <w:sz w:val="28"/>
                <w:szCs w:val="28"/>
              </w:rPr>
            </w:pPr>
            <w:r>
              <w:rPr>
                <w:rFonts w:ascii="Times New Roman" w:hAnsi="Times New Roman" w:eastAsia="宋体"/>
                <w:color w:val="000000"/>
                <w:kern w:val="0"/>
                <w:sz w:val="28"/>
                <w:szCs w:val="28"/>
              </w:rPr>
              <w:t>（九）村庄建设内生动力和运营模式研究</w:t>
            </w:r>
          </w:p>
        </w:tc>
        <w:tc>
          <w:tcPr>
            <w:tcW w:w="1709" w:type="pct"/>
            <w:vAlign w:val="center"/>
          </w:tcPr>
          <w:p>
            <w:pPr>
              <w:widowControl/>
              <w:spacing w:line="440" w:lineRule="exact"/>
              <w:rPr>
                <w:rFonts w:ascii="Times New Roman" w:hAnsi="Times New Roman" w:eastAsia="宋体"/>
                <w:color w:val="000000"/>
                <w:sz w:val="28"/>
                <w:szCs w:val="28"/>
              </w:rPr>
            </w:pPr>
            <w:r>
              <w:rPr>
                <w:rFonts w:ascii="Times New Roman" w:hAnsi="Times New Roman" w:eastAsia="宋体"/>
                <w:color w:val="000000"/>
                <w:sz w:val="28"/>
                <w:szCs w:val="28"/>
              </w:rPr>
              <w:t>社会变迁视角下西安市·近郊乡村空间转型及规划应对研究</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西安理工大学、大秦文旅工程设计（西安）集团有限公司</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孙晓强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17</w:t>
            </w:r>
          </w:p>
        </w:tc>
        <w:tc>
          <w:tcPr>
            <w:tcW w:w="864" w:type="pct"/>
            <w:vMerge w:val="continue"/>
            <w:vAlign w:val="center"/>
          </w:tcPr>
          <w:p>
            <w:pPr>
              <w:widowControl/>
              <w:spacing w:line="500" w:lineRule="exact"/>
              <w:rPr>
                <w:rFonts w:ascii="Times New Roman" w:hAnsi="Times New Roman" w:eastAsia="宋体"/>
                <w:color w:val="000000"/>
                <w:kern w:val="0"/>
                <w:sz w:val="28"/>
                <w:szCs w:val="28"/>
              </w:rPr>
            </w:pPr>
          </w:p>
        </w:tc>
        <w:tc>
          <w:tcPr>
            <w:tcW w:w="1709" w:type="pct"/>
            <w:vAlign w:val="center"/>
          </w:tcPr>
          <w:p>
            <w:pPr>
              <w:spacing w:line="440" w:lineRule="exact"/>
              <w:rPr>
                <w:rFonts w:ascii="Times New Roman" w:hAnsi="Times New Roman" w:eastAsia="宋体"/>
                <w:color w:val="000000"/>
                <w:sz w:val="28"/>
                <w:szCs w:val="28"/>
              </w:rPr>
            </w:pPr>
            <w:r>
              <w:rPr>
                <w:rFonts w:ascii="Times New Roman" w:hAnsi="Times New Roman" w:eastAsia="宋体"/>
                <w:color w:val="000000"/>
                <w:sz w:val="28"/>
                <w:szCs w:val="28"/>
              </w:rPr>
              <w:t>资源异质性村庄农地流转提升村庄建设内生动力的治理机制与优化路径——以上海、江苏和新疆为例</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南京农业大学</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石晓平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18</w:t>
            </w:r>
          </w:p>
        </w:tc>
        <w:tc>
          <w:tcPr>
            <w:tcW w:w="864" w:type="pct"/>
            <w:vMerge w:val="restart"/>
            <w:vAlign w:val="center"/>
          </w:tcPr>
          <w:p>
            <w:pPr>
              <w:widowControl/>
              <w:spacing w:line="440" w:lineRule="exact"/>
              <w:rPr>
                <w:rFonts w:ascii="Times New Roman" w:hAnsi="Times New Roman" w:eastAsia="宋体"/>
                <w:color w:val="000000"/>
                <w:sz w:val="28"/>
                <w:szCs w:val="28"/>
              </w:rPr>
            </w:pPr>
            <w:r>
              <w:rPr>
                <w:rFonts w:ascii="Times New Roman" w:hAnsi="Times New Roman" w:eastAsia="宋体"/>
                <w:color w:val="000000"/>
                <w:kern w:val="0"/>
                <w:sz w:val="28"/>
                <w:szCs w:val="28"/>
              </w:rPr>
              <w:t>（十）数字乡村建设技术模式和政策研究</w:t>
            </w:r>
          </w:p>
        </w:tc>
        <w:tc>
          <w:tcPr>
            <w:tcW w:w="1709"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数字乡村建设技术模式和政策研究</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北京市农林科学院信息技术研究中心</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李  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91" w:type="pct"/>
            <w:vAlign w:val="center"/>
          </w:tcPr>
          <w:p>
            <w:pPr>
              <w:widowControl/>
              <w:jc w:val="center"/>
              <w:rPr>
                <w:rFonts w:ascii="Times New Roman" w:hAnsi="Times New Roman" w:eastAsia="宋体"/>
                <w:color w:val="000000"/>
                <w:kern w:val="0"/>
                <w:sz w:val="28"/>
                <w:szCs w:val="28"/>
              </w:rPr>
            </w:pPr>
            <w:r>
              <w:rPr>
                <w:rFonts w:ascii="Times New Roman" w:hAnsi="Times New Roman" w:eastAsia="宋体"/>
                <w:color w:val="000000"/>
                <w:kern w:val="0"/>
                <w:sz w:val="28"/>
                <w:szCs w:val="28"/>
              </w:rPr>
              <w:t>19</w:t>
            </w:r>
          </w:p>
        </w:tc>
        <w:tc>
          <w:tcPr>
            <w:tcW w:w="864" w:type="pct"/>
            <w:vMerge w:val="continue"/>
            <w:vAlign w:val="center"/>
          </w:tcPr>
          <w:p>
            <w:pPr>
              <w:widowControl/>
              <w:spacing w:line="500" w:lineRule="exact"/>
              <w:jc w:val="center"/>
              <w:rPr>
                <w:rFonts w:ascii="Times New Roman" w:hAnsi="Times New Roman" w:eastAsia="宋体"/>
                <w:color w:val="000000"/>
                <w:kern w:val="0"/>
                <w:sz w:val="28"/>
                <w:szCs w:val="28"/>
              </w:rPr>
            </w:pPr>
          </w:p>
        </w:tc>
        <w:tc>
          <w:tcPr>
            <w:tcW w:w="1709"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村域数字化运营和智慧治理的路径与探索</w:t>
            </w:r>
          </w:p>
        </w:tc>
        <w:tc>
          <w:tcPr>
            <w:tcW w:w="1446" w:type="pct"/>
            <w:vAlign w:val="center"/>
          </w:tcPr>
          <w:p>
            <w:pPr>
              <w:spacing w:line="500" w:lineRule="exact"/>
              <w:rPr>
                <w:rFonts w:ascii="Times New Roman" w:hAnsi="Times New Roman" w:eastAsia="宋体"/>
                <w:color w:val="000000"/>
                <w:sz w:val="28"/>
                <w:szCs w:val="28"/>
              </w:rPr>
            </w:pPr>
            <w:r>
              <w:rPr>
                <w:rFonts w:ascii="Times New Roman" w:hAnsi="Times New Roman" w:eastAsia="宋体"/>
                <w:color w:val="000000"/>
                <w:sz w:val="28"/>
                <w:szCs w:val="28"/>
              </w:rPr>
              <w:t>北京大学</w:t>
            </w:r>
          </w:p>
        </w:tc>
        <w:tc>
          <w:tcPr>
            <w:tcW w:w="689" w:type="pct"/>
            <w:vAlign w:val="center"/>
          </w:tcPr>
          <w:p>
            <w:pPr>
              <w:jc w:val="center"/>
              <w:rPr>
                <w:rFonts w:ascii="Times New Roman" w:hAnsi="Times New Roman" w:eastAsia="宋体"/>
                <w:color w:val="000000"/>
                <w:sz w:val="28"/>
                <w:szCs w:val="28"/>
              </w:rPr>
            </w:pPr>
            <w:r>
              <w:rPr>
                <w:rFonts w:ascii="Times New Roman" w:hAnsi="Times New Roman" w:eastAsia="宋体"/>
                <w:color w:val="000000"/>
                <w:sz w:val="28"/>
                <w:szCs w:val="28"/>
              </w:rPr>
              <w:t>许立言</w:t>
            </w:r>
          </w:p>
        </w:tc>
      </w:tr>
    </w:tbl>
    <w:p/>
    <w:sectPr>
      <w:footerReference r:id="rId3" w:type="default"/>
      <w:pgSz w:w="16838" w:h="11906" w:orient="landscape"/>
      <w:pgMar w:top="1797" w:right="1928"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41203"/>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YjljZTBjOTE1ZDUzN2JkZjJkNGVkMTk4ODkzNTQifQ=="/>
  </w:docVars>
  <w:rsids>
    <w:rsidRoot w:val="000D4193"/>
    <w:rsid w:val="000B1734"/>
    <w:rsid w:val="000D4193"/>
    <w:rsid w:val="001708F4"/>
    <w:rsid w:val="001755BA"/>
    <w:rsid w:val="001D4C05"/>
    <w:rsid w:val="004830E8"/>
    <w:rsid w:val="00847C0B"/>
    <w:rsid w:val="00A923EC"/>
    <w:rsid w:val="00BB77A3"/>
    <w:rsid w:val="00D361D7"/>
    <w:rsid w:val="00D6191F"/>
    <w:rsid w:val="00EE3596"/>
    <w:rsid w:val="00F33E51"/>
    <w:rsid w:val="0C525FD9"/>
    <w:rsid w:val="35E75889"/>
    <w:rsid w:val="39032F3F"/>
    <w:rsid w:val="5B17546C"/>
    <w:rsid w:val="617C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cs="Courier New" w:hAnsiTheme="minorHAnsi" w:eastAsiaTheme="minorEastAsia"/>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basedOn w:val="9"/>
    <w:link w:val="2"/>
    <w:qFormat/>
    <w:uiPriority w:val="9"/>
    <w:rPr>
      <w:rFonts w:ascii="宋体" w:hAnsi="宋体" w:eastAsia="宋体" w:cs="宋体"/>
      <w:b/>
      <w:bCs/>
      <w:kern w:val="0"/>
      <w:sz w:val="36"/>
      <w:szCs w:val="36"/>
    </w:rPr>
  </w:style>
  <w:style w:type="paragraph" w:customStyle="1" w:styleId="11">
    <w:name w:val="BodyText"/>
    <w:basedOn w:val="1"/>
    <w:qFormat/>
    <w:uiPriority w:val="0"/>
    <w:pPr>
      <w:spacing w:after="120"/>
      <w:textAlignment w:val="baseline"/>
    </w:pPr>
    <w:rPr>
      <w:rFonts w:ascii="Calibri" w:hAnsi="Calibri" w:eastAsiaTheme="minorEastAsia" w:cstheme="minorBidi"/>
      <w:szCs w:val="24"/>
    </w:rPr>
  </w:style>
  <w:style w:type="character" w:customStyle="1" w:styleId="12">
    <w:name w:val="页眉 Char"/>
    <w:basedOn w:val="9"/>
    <w:link w:val="6"/>
    <w:qFormat/>
    <w:uiPriority w:val="99"/>
    <w:rPr>
      <w:rFonts w:ascii="等线" w:hAnsi="等线" w:eastAsia="等线" w:cs="Times New Roman"/>
      <w:sz w:val="18"/>
      <w:szCs w:val="18"/>
    </w:rPr>
  </w:style>
  <w:style w:type="character" w:customStyle="1" w:styleId="13">
    <w:name w:val="页脚 Char"/>
    <w:basedOn w:val="9"/>
    <w:link w:val="5"/>
    <w:qFormat/>
    <w:uiPriority w:val="99"/>
    <w:rPr>
      <w:rFonts w:ascii="等线" w:hAnsi="等线" w:eastAsia="等线" w:cs="Times New Roman"/>
      <w:sz w:val="18"/>
      <w:szCs w:val="18"/>
    </w:rPr>
  </w:style>
  <w:style w:type="character" w:customStyle="1" w:styleId="14">
    <w:name w:val="纯文本 Char"/>
    <w:basedOn w:val="9"/>
    <w:link w:val="3"/>
    <w:qFormat/>
    <w:uiPriority w:val="0"/>
    <w:rPr>
      <w:rFonts w:ascii="宋体" w:cs="Courier New"/>
      <w:szCs w:val="21"/>
    </w:rPr>
  </w:style>
  <w:style w:type="character" w:customStyle="1" w:styleId="15">
    <w:name w:val="批注框文本 Char"/>
    <w:basedOn w:val="9"/>
    <w:link w:val="4"/>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1250</Words>
  <Characters>1278</Characters>
  <Lines>9</Lines>
  <Paragraphs>2</Paragraphs>
  <TotalTime>8</TotalTime>
  <ScaleCrop>false</ScaleCrop>
  <LinksUpToDate>false</LinksUpToDate>
  <CharactersWithSpaces>1299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2023-03-14T09:26:00Z</dcterms:created>
  <dc:creator>王丽丽</dc:creator>
  <cp:lastModifiedBy>冷晨昕</cp:lastModifiedBy>
  <cp:lastPrinted>2023-03-14T09:23:00Z</cp:lastPrinted>
  <dcterms:modified xsi:type="dcterms:W3CDTF">2023-03-15T05:55:33Z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A23B93040DD54F97B7FD05C28CFB3FCF</vt:lpwstr>
  </property>
</Properties>
</file>